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2858036" w:rsidR="000F2750" w:rsidRDefault="00C8607A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008</w:t>
      </w:r>
      <w:r w:rsidR="00AB77EC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F794B5E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7906EC">
        <w:rPr>
          <w:rFonts w:ascii="Arial" w:hAnsi="Arial"/>
        </w:rPr>
        <w:t xml:space="preserve">recuperar as condições de trafegabilidade na rua Vilson Frederico </w:t>
      </w:r>
      <w:proofErr w:type="spellStart"/>
      <w:r w:rsidR="007906EC">
        <w:rPr>
          <w:rFonts w:ascii="Arial" w:hAnsi="Arial"/>
        </w:rPr>
        <w:t>Dickel</w:t>
      </w:r>
      <w:proofErr w:type="spellEnd"/>
      <w:r w:rsidR="007906EC">
        <w:rPr>
          <w:rFonts w:ascii="Arial" w:hAnsi="Arial"/>
        </w:rPr>
        <w:t>, bairro boa Vista</w:t>
      </w:r>
      <w:r w:rsidR="00AB77EC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312106AD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7906EC">
        <w:rPr>
          <w:rFonts w:ascii="Arial" w:hAnsi="Arial"/>
        </w:rPr>
        <w:t xml:space="preserve"> devido a uma série de buracos ao longo da referida via.</w:t>
      </w:r>
      <w:bookmarkStart w:id="0" w:name="_GoBack"/>
      <w:bookmarkEnd w:id="0"/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906EC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8607A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2022-10-17T11:46:00Z</cp:lastPrinted>
  <dcterms:created xsi:type="dcterms:W3CDTF">2024-02-02T13:00:00Z</dcterms:created>
  <dcterms:modified xsi:type="dcterms:W3CDTF">2024-02-02T13:00:00Z</dcterms:modified>
</cp:coreProperties>
</file>