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12</w:t>
      </w:r>
      <w:r w:rsidR="00FF55F3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</w:t>
      </w:r>
      <w:r w:rsidRPr="00FF55F3">
        <w:rPr>
          <w:rFonts w:ascii="Arial" w:hAnsi="Arial" w:cs="Arial"/>
          <w:sz w:val="24"/>
          <w:szCs w:val="24"/>
        </w:rPr>
        <w:t xml:space="preserve">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>da construção de uma calçada de passeio do trevo de acesso à Linha Harmonia até o cemitério da Linha Harmonia Baixa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 </w:t>
      </w:r>
      <w:r w:rsidR="00FF55F3">
        <w:rPr>
          <w:rFonts w:ascii="Arial" w:eastAsia="Times New Roman" w:hAnsi="Arial" w:cs="Arial"/>
          <w:sz w:val="24"/>
          <w:szCs w:val="24"/>
          <w:lang w:eastAsia="pt-BR"/>
        </w:rPr>
        <w:t>para aumentar a segurança dos pedestres que utilizam o referido trecho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FF55F3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6B05C3"/>
    <w:rsid w:val="007A547A"/>
    <w:rsid w:val="009821E5"/>
    <w:rsid w:val="00ED05BA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2021-07-06T11:16:00Z</dcterms:created>
  <dcterms:modified xsi:type="dcterms:W3CDTF">2021-07-06T11:16:00Z</dcterms:modified>
</cp:coreProperties>
</file>